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Praxis Paper: Connecting Theory to Practice in Teaching Refugee Experiences</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lesson plan “Connecting Theory to Practice in Teaching Refugee Experiences”,</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purpose was to teach children what refugees go through in the real life and bridge theory to practice. We wanted to develop empathy and social justice among students. Drawing from the theoretical frameworks discussed in our course readings, particularly those addressing multicultural education and social justice, this praxis paper analyzes how these theories were integrated into the lesson plan. Our approach in this lesson plan is consistent with the principle of “backward design, ”  “We start with a clear and detailed explanation of the desired learning outcomes or what we want the students to learn and then implement  the curriculum and instructional strategies from the performances called for or implied in these learning outcomes", according to Cummins and Early (2015). </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lesson plan begins with examining students' prior knowledge and perceptions of refugee experiences, which aligns with the tenets of multicultural education. By distributing entry cards and facilitating a discussion of students' responses, the lesson plan “capitalizes on the importance of recognizing and valuing diverse perspectives” (Banks, 2010). This initial activity sets the stage or prepares students for a deeper exploration of refugee experiences and displacement, emphasizing the need for an inclusive learning environment where all voices are heard and respected. “Theories of multimodality rest on the assumption that our engagement with the world is through the body: through sight, sound, touch, smell, taste, our brains and our cognitive processes. The body is central to how we make meaning in the world.” (Boyd and Brock's, 2015). In other words, Multimodality theories suggest that we understand the world through our senses and cognitive abilities, emphasizing the importance of our bodies in making sense of things.</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visuals provides a real-world refugee crisis further extends the lesson's theoretical concept. According to Ladson-Billings (1995), “multicultural education should encompass not only content integration but also the use of diverse instructional materials and methods.” By prompting students to reflect on the emotions evoked by these images and connecting them to the novel's themes, the lesson plan promotes critical consciousness and encourages students to empathize with the plight of refugees globally. According to Herrell and Jordan (2020), “Visual scaffolding is an approach in which the language used in instruction is made more understandable by displaying drawings or photographs that allow students to connect spoken English words to visual images being displayed (p 38).”</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reading aloud of Chapter 1, pauses for comprehension checks and reflection align with Vygotsky's zone of proximal development (ZPD) (Vygotsky, 1978). This approach scaffolds students' understanding, ensuring that they can engage meaningfully with the text while fostering collective learning and support. This practice overlaps with the “Collecting words,” which “helps children develop better speaking and writing vocabularies” and supports their understanding of the nuances of words that have the same or similar meanings.”  (Herrell &amp; Jordan, 2020, p. 52)</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post-reading discussion, improving on the characters' challenges and students' emotional responses, underscores the importance of empathy and social justice. By prompting students to consider the characters' experiences within the broader context of real-world injustices, “the lesson plan encourages critical reflection and action” (Gay, 2002).</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lesson plan effectively connects theory to practice by using principles of multicultural education, social justice, and cognitive development. By engaging students in activities that foster empathy, critical thinking, and advocacy, the lesson cultivates a deeper understanding of refugee experiences and encourages students to become agents of positive change in their communities.</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Banks, J. A. (2010). Multicultural education: Characteristics and goals. In J. A. Banks &amp; C. A. M. </w:t>
      </w:r>
    </w:p>
    <w:p w:rsidR="00000000" w:rsidDel="00000000" w:rsidP="00000000" w:rsidRDefault="00000000" w:rsidRPr="00000000" w14:paraId="00000011">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Banks (Eds.), Multicultural education: Issues and perspectives (7th ed., pp. 3–30). John Wiley &amp; Sons.</w:t>
      </w:r>
    </w:p>
    <w:p w:rsidR="00000000" w:rsidDel="00000000" w:rsidP="00000000" w:rsidRDefault="00000000" w:rsidRPr="00000000" w14:paraId="00000013">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Boyd, F. B., &amp; Brock, C. H. (Eds.). (2015). Social diversity within multiliteracies : complexity in teaching and learning. Routledge, Taylor &amp; Francis Group.</w:t>
      </w:r>
    </w:p>
    <w:p w:rsidR="00000000" w:rsidDel="00000000" w:rsidP="00000000" w:rsidRDefault="00000000" w:rsidRPr="00000000" w14:paraId="00000015">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Gay, G. (2002). Preparing for culturally responsive teaching. Journal of Teacher Education, 53(2), 106–116.</w:t>
      </w:r>
    </w:p>
    <w:p w:rsidR="00000000" w:rsidDel="00000000" w:rsidP="00000000" w:rsidRDefault="00000000" w:rsidRPr="00000000" w14:paraId="00000017">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Herrell, A. L., &amp; Jordan, M. (2020). 50 strategies for teaching English language learners (Sixth edition.). Pearson.</w:t>
      </w:r>
    </w:p>
    <w:p w:rsidR="00000000" w:rsidDel="00000000" w:rsidP="00000000" w:rsidRDefault="00000000" w:rsidRPr="00000000" w14:paraId="00000019">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Ladson-Billings, G. (1995). Toward a theory of culturally relevant pedagogy. American Educational Research Journal, 32(3), 465–491.</w:t>
      </w:r>
    </w:p>
    <w:p w:rsidR="00000000" w:rsidDel="00000000" w:rsidP="00000000" w:rsidRDefault="00000000" w:rsidRPr="00000000" w14:paraId="0000001B">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Vygotsky, L. S. (1978). Mind in society: The development of higher psychological processes. Harvard University Press.</w:t>
      </w:r>
    </w:p>
    <w:p w:rsidR="00000000" w:rsidDel="00000000" w:rsidP="00000000" w:rsidRDefault="00000000" w:rsidRPr="00000000" w14:paraId="0000001D">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Cummins, J., &amp; Early, Margaret. (2015). Big ideas for expanding minds : teaching English language learners across the curriculum. Pearson Canada Inc.</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