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Exit Card- Knowledge Rating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Read through the key terms and put a checkmark in the first column if you are able to define them before the review game.</w:t>
      </w: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After we have played the game as a class, put a c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ge">
                  <wp:posOffset>2216467</wp:posOffset>
                </wp:positionV>
                <wp:extent cx="5943600" cy="695515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9551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38"/>
                              <w:gridCol w:w="2339"/>
                              <w:gridCol w:w="2339"/>
                              <w:gridCol w:w="2339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677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Can Define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Before Game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After Game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Nitrogenous Base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Deoxyribonucleic Acid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Ribonucleic Acid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Guanine - G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Cytosine - C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Uracil - U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Thymine - T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Adenine - A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Sugar Phosphate Backbone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Hydrogen Bonds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Covalent Bonds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Genetic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Nucleotide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Chromosome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Complementary Sequence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Double Helix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Purine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Pyrimidine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Somatic cells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Sex Cells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Haploid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Diploid</w:t>
                                  </w:r>
                                </w:p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0.2pt;margin-top:174.5pt;width:468.0pt;height:547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5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38"/>
                        <w:gridCol w:w="2339"/>
                        <w:gridCol w:w="2339"/>
                        <w:gridCol w:w="2339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677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Can Define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bdc0bf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Before Game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After Game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?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Nitrogenous Base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Deoxyribonucleic Acid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Ribonucleic Acid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Guanine - G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Cytosine - C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Uracil - U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Thymine - T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Adenine - A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Sugar Phosphate Backbone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Hydrogen Bonds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Covalent Bonds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Genetic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Nucleotide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Chromosome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Complementary Sequence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Double Helix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Purine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Pyrimidine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Somatic cells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Sex Cells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Haploid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Diploid</w:t>
                            </w:r>
                          </w:p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Helvetica" w:cs="Arial Unicode MS" w:hAnsi="Arial Unicode MS" w:eastAsia="Arial Unicode MS"/>
          <w:rtl w:val="0"/>
        </w:rPr>
        <w:t>heckmark if you can define the terms,</w:t>
      </w: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Put a checkmark in the third column if you are still confused about the definition.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4.   Write the definitions of the key terms on a separate page for your notes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Name: 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